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3040"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2193953" cy="49968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93953" cy="499681"/>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before="203"/>
        <w:ind w:left="1566" w:right="87" w:firstLine="0"/>
        <w:jc w:val="left"/>
        <w:rPr>
          <w:rFonts w:ascii="Cambria" w:hAnsi="Cambria" w:cs="Cambria" w:eastAsia="Cambria" w:hint="default"/>
          <w:sz w:val="26"/>
          <w:szCs w:val="26"/>
        </w:rPr>
      </w:pPr>
      <w:r>
        <w:rPr>
          <w:rFonts w:ascii="Cambria"/>
          <w:b/>
          <w:color w:val="4F81BC"/>
          <w:sz w:val="26"/>
        </w:rPr>
        <w:t>AFSP Model Legislation: Suicide Prevention in</w:t>
      </w:r>
      <w:r>
        <w:rPr>
          <w:rFonts w:ascii="Cambria"/>
          <w:b/>
          <w:color w:val="4F81BC"/>
          <w:spacing w:val="-31"/>
          <w:sz w:val="26"/>
        </w:rPr>
        <w:t> </w:t>
      </w:r>
      <w:r>
        <w:rPr>
          <w:rFonts w:ascii="Cambria"/>
          <w:b/>
          <w:color w:val="4F81BC"/>
          <w:sz w:val="26"/>
        </w:rPr>
        <w:t>Schools</w:t>
      </w:r>
      <w:r>
        <w:rPr>
          <w:rFonts w:ascii="Cambria"/>
          <w:sz w:val="26"/>
        </w:rPr>
      </w:r>
    </w:p>
    <w:p>
      <w:pPr>
        <w:spacing w:line="240" w:lineRule="auto" w:before="0"/>
        <w:ind w:right="0"/>
        <w:rPr>
          <w:rFonts w:ascii="Cambria" w:hAnsi="Cambria" w:cs="Cambria" w:eastAsia="Cambria" w:hint="default"/>
          <w:b/>
          <w:bCs/>
          <w:sz w:val="30"/>
          <w:szCs w:val="30"/>
        </w:rPr>
      </w:pPr>
    </w:p>
    <w:p>
      <w:pPr>
        <w:pStyle w:val="ListParagraph"/>
        <w:numPr>
          <w:ilvl w:val="0"/>
          <w:numId w:val="1"/>
        </w:numPr>
        <w:tabs>
          <w:tab w:pos="461" w:val="left" w:leader="none"/>
        </w:tabs>
        <w:spacing w:line="276" w:lineRule="auto" w:before="0" w:after="0"/>
        <w:ind w:left="460" w:right="99" w:hanging="360"/>
        <w:jc w:val="left"/>
        <w:rPr>
          <w:rFonts w:ascii="Calibri" w:hAnsi="Calibri" w:cs="Calibri" w:eastAsia="Calibri" w:hint="default"/>
          <w:sz w:val="22"/>
          <w:szCs w:val="22"/>
        </w:rPr>
      </w:pPr>
      <w:r>
        <w:rPr>
          <w:rFonts w:ascii="Calibri"/>
          <w:sz w:val="22"/>
        </w:rPr>
        <w:t>Beginning in the 2016-2017 school year, the State </w:t>
      </w:r>
      <w:r>
        <w:rPr>
          <w:rFonts w:ascii="Calibri"/>
          <w:i/>
          <w:sz w:val="22"/>
        </w:rPr>
        <w:t>Board/Department </w:t>
      </w:r>
      <w:r>
        <w:rPr>
          <w:rFonts w:ascii="Calibri"/>
          <w:sz w:val="22"/>
        </w:rPr>
        <w:t>of Education shall adopt rules to require that all public school personnel receive at least 2 hours of suicide awareness and prevention training each year*. This training shall be provided within the framework of existing in- service training programs offered by the State </w:t>
      </w:r>
      <w:r>
        <w:rPr>
          <w:rFonts w:ascii="Calibri"/>
          <w:i/>
          <w:sz w:val="22"/>
        </w:rPr>
        <w:t>Board/Department </w:t>
      </w:r>
      <w:r>
        <w:rPr>
          <w:rFonts w:ascii="Calibri"/>
          <w:sz w:val="22"/>
        </w:rPr>
        <w:t>of Education or as part of required professional development</w:t>
      </w:r>
      <w:r>
        <w:rPr>
          <w:rFonts w:ascii="Calibri"/>
          <w:spacing w:val="-9"/>
          <w:sz w:val="22"/>
        </w:rPr>
        <w:t> </w:t>
      </w:r>
      <w:r>
        <w:rPr>
          <w:rFonts w:ascii="Calibri"/>
          <w:sz w:val="22"/>
        </w:rPr>
        <w:t>activities.</w:t>
      </w:r>
    </w:p>
    <w:p>
      <w:pPr>
        <w:spacing w:line="240" w:lineRule="auto" w:before="3"/>
        <w:ind w:right="0"/>
        <w:rPr>
          <w:rFonts w:ascii="Calibri" w:hAnsi="Calibri" w:cs="Calibri" w:eastAsia="Calibri" w:hint="default"/>
          <w:sz w:val="25"/>
          <w:szCs w:val="25"/>
        </w:rPr>
      </w:pPr>
    </w:p>
    <w:p>
      <w:pPr>
        <w:pStyle w:val="ListParagraph"/>
        <w:numPr>
          <w:ilvl w:val="0"/>
          <w:numId w:val="1"/>
        </w:numPr>
        <w:tabs>
          <w:tab w:pos="461" w:val="left" w:leader="none"/>
        </w:tabs>
        <w:spacing w:line="276" w:lineRule="auto" w:before="0" w:after="0"/>
        <w:ind w:left="460" w:right="171" w:hanging="360"/>
        <w:jc w:val="left"/>
        <w:rPr>
          <w:rFonts w:ascii="Calibri" w:hAnsi="Calibri" w:cs="Calibri" w:eastAsia="Calibri" w:hint="default"/>
          <w:sz w:val="22"/>
          <w:szCs w:val="22"/>
        </w:rPr>
      </w:pPr>
      <w:r>
        <w:rPr>
          <w:rFonts w:ascii="Calibri"/>
          <w:sz w:val="22"/>
        </w:rPr>
        <w:t>The State </w:t>
      </w:r>
      <w:r>
        <w:rPr>
          <w:rFonts w:ascii="Calibri"/>
          <w:i/>
          <w:sz w:val="22"/>
        </w:rPr>
        <w:t>Board/Department </w:t>
      </w:r>
      <w:r>
        <w:rPr>
          <w:rFonts w:ascii="Calibri"/>
          <w:sz w:val="22"/>
        </w:rPr>
        <w:t>of Education shall, in consultation with </w:t>
      </w:r>
      <w:r>
        <w:rPr>
          <w:rFonts w:ascii="Calibri"/>
          <w:i/>
          <w:sz w:val="22"/>
        </w:rPr>
        <w:t>state agency/coalition charged with coordinating state suicide prevention activities, other stakeholders</w:t>
      </w:r>
      <w:r>
        <w:rPr>
          <w:rFonts w:ascii="Calibri"/>
          <w:sz w:val="22"/>
        </w:rPr>
        <w:t>, </w:t>
      </w:r>
      <w:r>
        <w:rPr>
          <w:rFonts w:ascii="Calibri"/>
          <w:i/>
          <w:sz w:val="22"/>
        </w:rPr>
        <w:t>and suicide prevention experts, </w:t>
      </w:r>
      <w:r>
        <w:rPr>
          <w:rFonts w:ascii="Calibri"/>
          <w:sz w:val="22"/>
        </w:rPr>
        <w:t>develop a list of approved training materials to fulfill the requirements of this</w:t>
      </w:r>
      <w:r>
        <w:rPr>
          <w:rFonts w:ascii="Calibri"/>
          <w:spacing w:val="-25"/>
          <w:sz w:val="22"/>
        </w:rPr>
        <w:t> </w:t>
      </w:r>
      <w:r>
        <w:rPr>
          <w:rFonts w:ascii="Calibri"/>
          <w:sz w:val="22"/>
        </w:rPr>
        <w:t>Section.</w:t>
      </w:r>
    </w:p>
    <w:p>
      <w:pPr>
        <w:pStyle w:val="ListParagraph"/>
        <w:numPr>
          <w:ilvl w:val="1"/>
          <w:numId w:val="1"/>
        </w:numPr>
        <w:tabs>
          <w:tab w:pos="821" w:val="left" w:leader="none"/>
        </w:tabs>
        <w:spacing w:line="276" w:lineRule="auto" w:before="0" w:after="0"/>
        <w:ind w:left="820" w:right="214" w:hanging="360"/>
        <w:jc w:val="both"/>
        <w:rPr>
          <w:rFonts w:ascii="Calibri" w:hAnsi="Calibri" w:cs="Calibri" w:eastAsia="Calibri" w:hint="default"/>
          <w:sz w:val="22"/>
          <w:szCs w:val="22"/>
        </w:rPr>
      </w:pPr>
      <w:r>
        <w:rPr>
          <w:rFonts w:ascii="Calibri"/>
          <w:sz w:val="22"/>
        </w:rPr>
        <w:t>Approved materials shall include training on how to identify appropriate mental health services both within the school and also within the larger community, and when and how to refer youth and their families to those</w:t>
      </w:r>
      <w:r>
        <w:rPr>
          <w:rFonts w:ascii="Calibri"/>
          <w:spacing w:val="-10"/>
          <w:sz w:val="22"/>
        </w:rPr>
        <w:t> </w:t>
      </w:r>
      <w:r>
        <w:rPr>
          <w:rFonts w:ascii="Calibri"/>
          <w:sz w:val="22"/>
        </w:rPr>
        <w:t>services.</w:t>
      </w:r>
    </w:p>
    <w:p>
      <w:pPr>
        <w:pStyle w:val="ListParagraph"/>
        <w:numPr>
          <w:ilvl w:val="1"/>
          <w:numId w:val="1"/>
        </w:numPr>
        <w:tabs>
          <w:tab w:pos="821" w:val="left" w:leader="none"/>
        </w:tabs>
        <w:spacing w:line="276" w:lineRule="auto" w:before="0" w:after="0"/>
        <w:ind w:left="820" w:right="840" w:hanging="360"/>
        <w:jc w:val="left"/>
        <w:rPr>
          <w:rFonts w:ascii="Calibri" w:hAnsi="Calibri" w:cs="Calibri" w:eastAsia="Calibri" w:hint="default"/>
          <w:sz w:val="22"/>
          <w:szCs w:val="22"/>
        </w:rPr>
      </w:pPr>
      <w:r>
        <w:rPr>
          <w:rFonts w:ascii="Calibri"/>
          <w:sz w:val="22"/>
        </w:rPr>
        <w:t>Approved materials may include programs that can be completed through self-review of suitable suicide prevention</w:t>
      </w:r>
      <w:r>
        <w:rPr>
          <w:rFonts w:ascii="Calibri"/>
          <w:spacing w:val="-12"/>
          <w:sz w:val="22"/>
        </w:rPr>
        <w:t> </w:t>
      </w:r>
      <w:r>
        <w:rPr>
          <w:rFonts w:ascii="Calibri"/>
          <w:sz w:val="22"/>
        </w:rPr>
        <w:t>materials.</w:t>
      </w:r>
    </w:p>
    <w:p>
      <w:pPr>
        <w:spacing w:line="240" w:lineRule="auto" w:before="8"/>
        <w:ind w:right="0"/>
        <w:rPr>
          <w:rFonts w:ascii="Calibri" w:hAnsi="Calibri" w:cs="Calibri" w:eastAsia="Calibri" w:hint="default"/>
          <w:sz w:val="20"/>
          <w:szCs w:val="20"/>
        </w:rPr>
      </w:pPr>
    </w:p>
    <w:p>
      <w:pPr>
        <w:pStyle w:val="BodyText"/>
        <w:spacing w:line="240" w:lineRule="auto" w:before="56"/>
        <w:ind w:left="100" w:right="87" w:firstLine="0"/>
        <w:jc w:val="left"/>
      </w:pPr>
      <w:r>
        <w:rPr/>
        <w:t>(3)</w:t>
      </w:r>
    </w:p>
    <w:p>
      <w:pPr>
        <w:pStyle w:val="ListParagraph"/>
        <w:numPr>
          <w:ilvl w:val="0"/>
          <w:numId w:val="2"/>
        </w:numPr>
        <w:tabs>
          <w:tab w:pos="821" w:val="left" w:leader="none"/>
        </w:tabs>
        <w:spacing w:line="276" w:lineRule="auto" w:before="41" w:after="0"/>
        <w:ind w:left="820" w:right="124" w:hanging="360"/>
        <w:jc w:val="left"/>
        <w:rPr>
          <w:rFonts w:ascii="Calibri" w:hAnsi="Calibri" w:cs="Calibri" w:eastAsia="Calibri" w:hint="default"/>
          <w:sz w:val="22"/>
          <w:szCs w:val="22"/>
        </w:rPr>
      </w:pPr>
      <w:r>
        <w:rPr>
          <w:rFonts w:ascii="Calibri"/>
          <w:sz w:val="22"/>
        </w:rPr>
        <w:t>Each public school district shall adopt a policy on student suicide prevention. Such policies shall be developed in consultation with school and community stakeholders, school employed</w:t>
      </w:r>
      <w:r>
        <w:rPr>
          <w:rFonts w:ascii="Calibri"/>
          <w:spacing w:val="-33"/>
          <w:sz w:val="22"/>
        </w:rPr>
        <w:t> </w:t>
      </w:r>
      <w:r>
        <w:rPr>
          <w:rFonts w:ascii="Calibri"/>
          <w:sz w:val="22"/>
        </w:rPr>
        <w:t>mental </w:t>
      </w:r>
      <w:r>
        <w:rPr>
          <w:rFonts w:ascii="Calibri"/>
          <w:sz w:val="22"/>
        </w:rPr>
        <w:t>health professionals, and suicide prevention experts, and shall, at a minimum, address procedures relating to suicide prevention, intervention, and</w:t>
      </w:r>
      <w:r>
        <w:rPr>
          <w:rFonts w:ascii="Calibri"/>
          <w:spacing w:val="-21"/>
          <w:sz w:val="22"/>
        </w:rPr>
        <w:t> </w:t>
      </w:r>
      <w:r>
        <w:rPr>
          <w:rFonts w:ascii="Calibri"/>
          <w:sz w:val="22"/>
        </w:rPr>
        <w:t>postvention.</w:t>
      </w:r>
    </w:p>
    <w:p>
      <w:pPr>
        <w:pStyle w:val="ListParagraph"/>
        <w:numPr>
          <w:ilvl w:val="0"/>
          <w:numId w:val="2"/>
        </w:numPr>
        <w:tabs>
          <w:tab w:pos="821" w:val="left" w:leader="none"/>
        </w:tabs>
        <w:spacing w:line="276" w:lineRule="auto" w:before="1" w:after="0"/>
        <w:ind w:left="820" w:right="189" w:hanging="360"/>
        <w:jc w:val="left"/>
        <w:rPr>
          <w:rFonts w:ascii="Calibri" w:hAnsi="Calibri" w:cs="Calibri" w:eastAsia="Calibri" w:hint="default"/>
          <w:sz w:val="22"/>
          <w:szCs w:val="22"/>
        </w:rPr>
      </w:pPr>
      <w:r>
        <w:rPr>
          <w:rFonts w:ascii="Calibri"/>
          <w:sz w:val="22"/>
        </w:rPr>
        <w:t>To assist school districts in developing policies for student suicide prevention, the Department of Education shall develop and maintain a model policy to serve as a guide for school districts in accordance with this</w:t>
      </w:r>
      <w:r>
        <w:rPr>
          <w:rFonts w:ascii="Calibri"/>
          <w:spacing w:val="-7"/>
          <w:sz w:val="22"/>
        </w:rPr>
        <w:t> </w:t>
      </w:r>
      <w:r>
        <w:rPr>
          <w:rFonts w:ascii="Calibri"/>
          <w:sz w:val="22"/>
        </w:rPr>
        <w:t>section.</w:t>
      </w:r>
    </w:p>
    <w:p>
      <w:pPr>
        <w:spacing w:line="240" w:lineRule="auto" w:before="8"/>
        <w:ind w:right="0"/>
        <w:rPr>
          <w:rFonts w:ascii="Calibri" w:hAnsi="Calibri" w:cs="Calibri" w:eastAsia="Calibri" w:hint="default"/>
          <w:sz w:val="20"/>
          <w:szCs w:val="20"/>
        </w:rPr>
      </w:pPr>
    </w:p>
    <w:p>
      <w:pPr>
        <w:pStyle w:val="BodyText"/>
        <w:spacing w:line="240" w:lineRule="auto" w:before="56"/>
        <w:ind w:left="100" w:right="87" w:firstLine="0"/>
        <w:jc w:val="left"/>
      </w:pPr>
      <w:r>
        <w:rPr/>
        <w:t>(4)</w:t>
      </w:r>
    </w:p>
    <w:p>
      <w:pPr>
        <w:pStyle w:val="ListParagraph"/>
        <w:numPr>
          <w:ilvl w:val="0"/>
          <w:numId w:val="3"/>
        </w:numPr>
        <w:tabs>
          <w:tab w:pos="821" w:val="left" w:leader="none"/>
        </w:tabs>
        <w:spacing w:line="276" w:lineRule="auto" w:before="41" w:after="0"/>
        <w:ind w:left="820" w:right="525" w:hanging="360"/>
        <w:jc w:val="left"/>
        <w:rPr>
          <w:rFonts w:ascii="Calibri" w:hAnsi="Calibri" w:cs="Calibri" w:eastAsia="Calibri" w:hint="default"/>
          <w:sz w:val="22"/>
          <w:szCs w:val="22"/>
        </w:rPr>
      </w:pPr>
      <w:r>
        <w:rPr>
          <w:rFonts w:ascii="Calibri"/>
          <w:sz w:val="22"/>
        </w:rPr>
        <w:t>No person shall have a cause of action for any loss or damage caused by any act or omission resulting from the implementation of the provisions of this Section or resulting from any training, or lack thereof, required by this</w:t>
      </w:r>
      <w:r>
        <w:rPr>
          <w:rFonts w:ascii="Calibri"/>
          <w:spacing w:val="-12"/>
          <w:sz w:val="22"/>
        </w:rPr>
        <w:t> </w:t>
      </w:r>
      <w:r>
        <w:rPr>
          <w:rFonts w:ascii="Calibri"/>
          <w:sz w:val="22"/>
        </w:rPr>
        <w:t>Section.</w:t>
      </w:r>
    </w:p>
    <w:p>
      <w:pPr>
        <w:pStyle w:val="ListParagraph"/>
        <w:numPr>
          <w:ilvl w:val="0"/>
          <w:numId w:val="3"/>
        </w:numPr>
        <w:tabs>
          <w:tab w:pos="821" w:val="left" w:leader="none"/>
        </w:tabs>
        <w:spacing w:line="278" w:lineRule="auto" w:before="0" w:after="0"/>
        <w:ind w:left="820" w:right="206" w:hanging="360"/>
        <w:jc w:val="left"/>
        <w:rPr>
          <w:rFonts w:ascii="Calibri" w:hAnsi="Calibri" w:cs="Calibri" w:eastAsia="Calibri" w:hint="default"/>
          <w:sz w:val="22"/>
          <w:szCs w:val="22"/>
        </w:rPr>
      </w:pPr>
      <w:r>
        <w:rPr>
          <w:rFonts w:ascii="Calibri"/>
          <w:sz w:val="22"/>
        </w:rPr>
        <w:t>The</w:t>
      </w:r>
      <w:r>
        <w:rPr>
          <w:rFonts w:ascii="Calibri"/>
          <w:spacing w:val="-1"/>
          <w:sz w:val="22"/>
        </w:rPr>
        <w:t> </w:t>
      </w:r>
      <w:r>
        <w:rPr>
          <w:rFonts w:ascii="Calibri"/>
          <w:sz w:val="22"/>
        </w:rPr>
        <w:t>training,</w:t>
      </w:r>
      <w:r>
        <w:rPr>
          <w:rFonts w:ascii="Calibri"/>
          <w:spacing w:val="-4"/>
          <w:sz w:val="22"/>
        </w:rPr>
        <w:t> </w:t>
      </w:r>
      <w:r>
        <w:rPr>
          <w:rFonts w:ascii="Calibri"/>
          <w:sz w:val="22"/>
        </w:rPr>
        <w:t>or</w:t>
      </w:r>
      <w:r>
        <w:rPr>
          <w:rFonts w:ascii="Calibri"/>
          <w:spacing w:val="-2"/>
          <w:sz w:val="22"/>
        </w:rPr>
        <w:t> </w:t>
      </w:r>
      <w:r>
        <w:rPr>
          <w:rFonts w:ascii="Calibri"/>
          <w:sz w:val="22"/>
        </w:rPr>
        <w:t>lack</w:t>
      </w:r>
      <w:r>
        <w:rPr>
          <w:rFonts w:ascii="Calibri"/>
          <w:spacing w:val="-2"/>
          <w:sz w:val="22"/>
        </w:rPr>
        <w:t> </w:t>
      </w:r>
      <w:r>
        <w:rPr>
          <w:rFonts w:ascii="Calibri"/>
          <w:sz w:val="22"/>
        </w:rPr>
        <w:t>thereof,</w:t>
      </w:r>
      <w:r>
        <w:rPr>
          <w:rFonts w:ascii="Calibri"/>
          <w:spacing w:val="-2"/>
          <w:sz w:val="22"/>
        </w:rPr>
        <w:t> </w:t>
      </w:r>
      <w:r>
        <w:rPr>
          <w:rFonts w:ascii="Calibri"/>
          <w:sz w:val="22"/>
        </w:rPr>
        <w:t>required</w:t>
      </w:r>
      <w:r>
        <w:rPr>
          <w:rFonts w:ascii="Calibri"/>
          <w:spacing w:val="-3"/>
          <w:sz w:val="22"/>
        </w:rPr>
        <w:t> </w:t>
      </w:r>
      <w:r>
        <w:rPr>
          <w:rFonts w:ascii="Calibri"/>
          <w:sz w:val="22"/>
        </w:rPr>
        <w:t>by</w:t>
      </w:r>
      <w:r>
        <w:rPr>
          <w:rFonts w:ascii="Calibri"/>
          <w:spacing w:val="-4"/>
          <w:sz w:val="22"/>
        </w:rPr>
        <w:t> </w:t>
      </w:r>
      <w:r>
        <w:rPr>
          <w:rFonts w:ascii="Calibri"/>
          <w:sz w:val="22"/>
        </w:rPr>
        <w:t>the</w:t>
      </w:r>
      <w:r>
        <w:rPr>
          <w:rFonts w:ascii="Calibri"/>
          <w:spacing w:val="-2"/>
          <w:sz w:val="22"/>
        </w:rPr>
        <w:t> </w:t>
      </w:r>
      <w:r>
        <w:rPr>
          <w:rFonts w:ascii="Calibri"/>
          <w:sz w:val="22"/>
        </w:rPr>
        <w:t>provisions</w:t>
      </w:r>
      <w:r>
        <w:rPr>
          <w:rFonts w:ascii="Calibri"/>
          <w:spacing w:val="-2"/>
          <w:sz w:val="22"/>
        </w:rPr>
        <w:t> </w:t>
      </w:r>
      <w:r>
        <w:rPr>
          <w:rFonts w:ascii="Calibri"/>
          <w:sz w:val="22"/>
        </w:rPr>
        <w:t>of</w:t>
      </w:r>
      <w:r>
        <w:rPr>
          <w:rFonts w:ascii="Calibri"/>
          <w:spacing w:val="-4"/>
          <w:sz w:val="22"/>
        </w:rPr>
        <w:t> </w:t>
      </w:r>
      <w:r>
        <w:rPr>
          <w:rFonts w:ascii="Calibri"/>
          <w:sz w:val="22"/>
        </w:rPr>
        <w:t>this</w:t>
      </w:r>
      <w:r>
        <w:rPr>
          <w:rFonts w:ascii="Calibri"/>
          <w:spacing w:val="-2"/>
          <w:sz w:val="22"/>
        </w:rPr>
        <w:t> </w:t>
      </w:r>
      <w:r>
        <w:rPr>
          <w:rFonts w:ascii="Calibri"/>
          <w:sz w:val="22"/>
        </w:rPr>
        <w:t>Section</w:t>
      </w:r>
      <w:r>
        <w:rPr>
          <w:rFonts w:ascii="Calibri"/>
          <w:spacing w:val="-5"/>
          <w:sz w:val="22"/>
        </w:rPr>
        <w:t> </w:t>
      </w:r>
      <w:r>
        <w:rPr>
          <w:rFonts w:ascii="Calibri"/>
          <w:sz w:val="22"/>
        </w:rPr>
        <w:t>shall</w:t>
      </w:r>
      <w:r>
        <w:rPr>
          <w:rFonts w:ascii="Calibri"/>
          <w:spacing w:val="-3"/>
          <w:sz w:val="22"/>
        </w:rPr>
        <w:t> </w:t>
      </w:r>
      <w:r>
        <w:rPr>
          <w:rFonts w:ascii="Calibri"/>
          <w:sz w:val="22"/>
        </w:rPr>
        <w:t>not</w:t>
      </w:r>
      <w:r>
        <w:rPr>
          <w:rFonts w:ascii="Calibri"/>
          <w:spacing w:val="-4"/>
          <w:sz w:val="22"/>
        </w:rPr>
        <w:t> </w:t>
      </w:r>
      <w:r>
        <w:rPr>
          <w:rFonts w:ascii="Calibri"/>
          <w:sz w:val="22"/>
        </w:rPr>
        <w:t>be</w:t>
      </w:r>
      <w:r>
        <w:rPr>
          <w:rFonts w:ascii="Calibri"/>
          <w:spacing w:val="-2"/>
          <w:sz w:val="22"/>
        </w:rPr>
        <w:t> </w:t>
      </w:r>
      <w:r>
        <w:rPr>
          <w:rFonts w:ascii="Calibri"/>
          <w:sz w:val="22"/>
        </w:rPr>
        <w:t>construed</w:t>
      </w:r>
      <w:r>
        <w:rPr>
          <w:rFonts w:ascii="Calibri"/>
          <w:spacing w:val="-3"/>
          <w:sz w:val="22"/>
        </w:rPr>
        <w:t> </w:t>
      </w:r>
      <w:r>
        <w:rPr>
          <w:rFonts w:ascii="Calibri"/>
          <w:sz w:val="22"/>
        </w:rPr>
        <w:t>to </w:t>
      </w:r>
      <w:r>
        <w:rPr>
          <w:rFonts w:ascii="Calibri"/>
          <w:sz w:val="22"/>
        </w:rPr>
        <w:t>impose any specific duty of</w:t>
      </w:r>
      <w:r>
        <w:rPr>
          <w:rFonts w:ascii="Calibri"/>
          <w:spacing w:val="-11"/>
          <w:sz w:val="22"/>
        </w:rPr>
        <w:t> </w:t>
      </w:r>
      <w:r>
        <w:rPr>
          <w:rFonts w:ascii="Calibri"/>
          <w:sz w:val="22"/>
        </w:rPr>
        <w:t>care.</w:t>
      </w:r>
    </w:p>
    <w:p>
      <w:pPr>
        <w:spacing w:line="240" w:lineRule="auto" w:before="0"/>
        <w:ind w:right="0"/>
        <w:rPr>
          <w:rFonts w:ascii="Calibri" w:hAnsi="Calibri" w:cs="Calibri" w:eastAsia="Calibri" w:hint="default"/>
          <w:sz w:val="20"/>
          <w:szCs w:val="20"/>
        </w:rPr>
      </w:pPr>
    </w:p>
    <w:p>
      <w:pPr>
        <w:spacing w:line="240" w:lineRule="auto" w:before="0"/>
        <w:ind w:right="0"/>
        <w:rPr>
          <w:rFonts w:ascii="Calibri" w:hAnsi="Calibri" w:cs="Calibri" w:eastAsia="Calibri" w:hint="default"/>
          <w:sz w:val="20"/>
          <w:szCs w:val="20"/>
        </w:rPr>
      </w:pPr>
    </w:p>
    <w:p>
      <w:pPr>
        <w:spacing w:line="240" w:lineRule="auto" w:before="8"/>
        <w:ind w:right="0"/>
        <w:rPr>
          <w:rFonts w:ascii="Calibri" w:hAnsi="Calibri" w:cs="Calibri" w:eastAsia="Calibri" w:hint="default"/>
          <w:sz w:val="17"/>
          <w:szCs w:val="17"/>
        </w:rPr>
      </w:pPr>
    </w:p>
    <w:p>
      <w:pPr>
        <w:pStyle w:val="BodyText"/>
        <w:spacing w:line="276" w:lineRule="auto"/>
        <w:ind w:left="100" w:right="87" w:firstLine="0"/>
        <w:jc w:val="left"/>
      </w:pPr>
      <w:r>
        <w:rPr/>
        <w:t>*In those states where the legislature must amend section (1) to require training less often, for example, once every 5 years, or that remove a frequency requirement entirely, a new section will be added that states:</w:t>
      </w:r>
    </w:p>
    <w:p>
      <w:pPr>
        <w:pStyle w:val="BodyText"/>
        <w:spacing w:line="278" w:lineRule="auto" w:before="197"/>
        <w:ind w:right="285" w:firstLine="0"/>
        <w:jc w:val="left"/>
      </w:pPr>
      <w:r>
        <w:rPr/>
        <w:t>The State </w:t>
      </w:r>
      <w:r>
        <w:rPr>
          <w:rFonts w:ascii="Calibri"/>
          <w:i/>
        </w:rPr>
        <w:t>Board/Department </w:t>
      </w:r>
      <w:r>
        <w:rPr/>
        <w:t>of Education shall adopt rules to require that all newly employed public school personnel receive at least 2 hours of suicide awareness and prevention training within 12 months of their date of</w:t>
      </w:r>
      <w:r>
        <w:rPr>
          <w:spacing w:val="-9"/>
        </w:rPr>
        <w:t> </w:t>
      </w:r>
      <w:r>
        <w:rPr/>
        <w:t>hire.</w:t>
      </w:r>
    </w:p>
    <w:p>
      <w:pPr>
        <w:spacing w:line="240" w:lineRule="auto" w:before="0"/>
        <w:ind w:right="0"/>
        <w:rPr>
          <w:rFonts w:ascii="Calibri" w:hAnsi="Calibri" w:cs="Calibri" w:eastAsia="Calibri" w:hint="default"/>
          <w:sz w:val="20"/>
          <w:szCs w:val="20"/>
        </w:rPr>
      </w:pPr>
    </w:p>
    <w:p>
      <w:pPr>
        <w:spacing w:line="240" w:lineRule="auto" w:before="4"/>
        <w:ind w:right="0"/>
        <w:rPr>
          <w:rFonts w:ascii="Calibri" w:hAnsi="Calibri" w:cs="Calibri" w:eastAsia="Calibri" w:hint="default"/>
          <w:sz w:val="15"/>
          <w:szCs w:val="15"/>
        </w:rPr>
      </w:pPr>
    </w:p>
    <w:p>
      <w:pPr>
        <w:spacing w:before="63"/>
        <w:ind w:left="2505" w:right="1340" w:hanging="831"/>
        <w:jc w:val="left"/>
        <w:rPr>
          <w:rFonts w:ascii="Calibri" w:hAnsi="Calibri" w:cs="Calibri" w:eastAsia="Calibri" w:hint="default"/>
          <w:sz w:val="18"/>
          <w:szCs w:val="18"/>
        </w:rPr>
      </w:pPr>
      <w:r>
        <w:rPr>
          <w:rFonts w:ascii="Calibri" w:hAnsi="Calibri" w:cs="Calibri" w:eastAsia="Calibri" w:hint="default"/>
          <w:sz w:val="18"/>
          <w:szCs w:val="18"/>
        </w:rPr>
        <w:t>AFSP Public Policy Office </w:t>
      </w:r>
      <w:r>
        <w:rPr>
          <w:rFonts w:ascii="Calibri" w:hAnsi="Calibri" w:cs="Calibri" w:eastAsia="Calibri" w:hint="default"/>
          <w:sz w:val="18"/>
          <w:szCs w:val="18"/>
        </w:rPr>
        <w:t>• </w:t>
      </w:r>
      <w:r>
        <w:rPr>
          <w:rFonts w:ascii="Calibri" w:hAnsi="Calibri" w:cs="Calibri" w:eastAsia="Calibri" w:hint="default"/>
          <w:sz w:val="18"/>
          <w:szCs w:val="18"/>
        </w:rPr>
        <w:t>440 First Street, NW, Suite </w:t>
      </w:r>
      <w:r>
        <w:rPr>
          <w:rFonts w:ascii="Calibri" w:hAnsi="Calibri" w:cs="Calibri" w:eastAsia="Calibri" w:hint="default"/>
          <w:sz w:val="18"/>
          <w:szCs w:val="18"/>
        </w:rPr>
        <w:t>300 • Washington, DC 20001 </w:t>
      </w:r>
      <w:r>
        <w:rPr>
          <w:rFonts w:ascii="Calibri" w:hAnsi="Calibri" w:cs="Calibri" w:eastAsia="Calibri" w:hint="default"/>
          <w:sz w:val="18"/>
          <w:szCs w:val="18"/>
        </w:rPr>
        <w:t>Phone: 202-449-3600   </w:t>
      </w:r>
      <w:r>
        <w:rPr>
          <w:rFonts w:ascii="Calibri" w:hAnsi="Calibri" w:cs="Calibri" w:eastAsia="Calibri" w:hint="default"/>
          <w:sz w:val="18"/>
          <w:szCs w:val="18"/>
        </w:rPr>
        <w:t>•   </w:t>
      </w:r>
      <w:r>
        <w:rPr>
          <w:rFonts w:ascii="Calibri" w:hAnsi="Calibri" w:cs="Calibri" w:eastAsia="Calibri" w:hint="default"/>
          <w:sz w:val="18"/>
          <w:szCs w:val="18"/>
        </w:rPr>
        <w:t>Fax: 202-449-3601  </w:t>
      </w:r>
      <w:r>
        <w:rPr>
          <w:rFonts w:ascii="Calibri" w:hAnsi="Calibri" w:cs="Calibri" w:eastAsia="Calibri" w:hint="default"/>
          <w:sz w:val="18"/>
          <w:szCs w:val="18"/>
        </w:rPr>
        <w:t>•</w:t>
      </w:r>
      <w:r>
        <w:rPr>
          <w:rFonts w:ascii="Calibri" w:hAnsi="Calibri" w:cs="Calibri" w:eastAsia="Calibri" w:hint="default"/>
          <w:spacing w:val="21"/>
          <w:sz w:val="18"/>
          <w:szCs w:val="18"/>
        </w:rPr>
        <w:t> </w:t>
      </w:r>
      <w:hyperlink r:id="rId6">
        <w:r>
          <w:rPr>
            <w:rFonts w:ascii="Calibri" w:hAnsi="Calibri" w:cs="Calibri" w:eastAsia="Calibri" w:hint="default"/>
            <w:sz w:val="18"/>
            <w:szCs w:val="18"/>
          </w:rPr>
          <w:t>www.afsp.org</w:t>
        </w:r>
      </w:hyperlink>
    </w:p>
    <w:sectPr>
      <w:type w:val="continuous"/>
      <w:pgSz w:w="12240" w:h="15840"/>
      <w:pgMar w:top="42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820" w:hanging="360"/>
        <w:jc w:val="left"/>
      </w:pPr>
      <w:rPr>
        <w:rFonts w:hint="default" w:ascii="Calibri" w:hAnsi="Calibri" w:eastAsia="Calibri"/>
        <w:spacing w:val="-1"/>
        <w:w w:val="100"/>
        <w:sz w:val="22"/>
        <w:szCs w:val="22"/>
      </w:rPr>
    </w:lvl>
    <w:lvl w:ilvl="1">
      <w:start w:val="1"/>
      <w:numFmt w:val="bullet"/>
      <w:lvlText w:val="•"/>
      <w:lvlJc w:val="left"/>
      <w:pPr>
        <w:ind w:left="1694" w:hanging="360"/>
      </w:pPr>
      <w:rPr>
        <w:rFonts w:hint="default"/>
      </w:rPr>
    </w:lvl>
    <w:lvl w:ilvl="2">
      <w:start w:val="1"/>
      <w:numFmt w:val="bullet"/>
      <w:lvlText w:val="•"/>
      <w:lvlJc w:val="left"/>
      <w:pPr>
        <w:ind w:left="2568" w:hanging="360"/>
      </w:pPr>
      <w:rPr>
        <w:rFonts w:hint="default"/>
      </w:rPr>
    </w:lvl>
    <w:lvl w:ilvl="3">
      <w:start w:val="1"/>
      <w:numFmt w:val="bullet"/>
      <w:lvlText w:val="•"/>
      <w:lvlJc w:val="left"/>
      <w:pPr>
        <w:ind w:left="3442" w:hanging="360"/>
      </w:pPr>
      <w:rPr>
        <w:rFonts w:hint="default"/>
      </w:rPr>
    </w:lvl>
    <w:lvl w:ilvl="4">
      <w:start w:val="1"/>
      <w:numFmt w:val="bullet"/>
      <w:lvlText w:val="•"/>
      <w:lvlJc w:val="left"/>
      <w:pPr>
        <w:ind w:left="4316"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6938" w:hanging="360"/>
      </w:pPr>
      <w:rPr>
        <w:rFonts w:hint="default"/>
      </w:rPr>
    </w:lvl>
    <w:lvl w:ilvl="8">
      <w:start w:val="1"/>
      <w:numFmt w:val="bullet"/>
      <w:lvlText w:val="•"/>
      <w:lvlJc w:val="left"/>
      <w:pPr>
        <w:ind w:left="7812" w:hanging="360"/>
      </w:pPr>
      <w:rPr>
        <w:rFonts w:hint="default"/>
      </w:rPr>
    </w:lvl>
  </w:abstractNum>
  <w:abstractNum w:abstractNumId="1">
    <w:multiLevelType w:val="hybridMultilevel"/>
    <w:lvl w:ilvl="0">
      <w:start w:val="1"/>
      <w:numFmt w:val="lowerLetter"/>
      <w:lvlText w:val="(%1)"/>
      <w:lvlJc w:val="left"/>
      <w:pPr>
        <w:ind w:left="820" w:hanging="360"/>
        <w:jc w:val="left"/>
      </w:pPr>
      <w:rPr>
        <w:rFonts w:hint="default" w:ascii="Calibri" w:hAnsi="Calibri" w:eastAsia="Calibri"/>
        <w:spacing w:val="-1"/>
        <w:w w:val="100"/>
        <w:sz w:val="22"/>
        <w:szCs w:val="22"/>
      </w:rPr>
    </w:lvl>
    <w:lvl w:ilvl="1">
      <w:start w:val="1"/>
      <w:numFmt w:val="bullet"/>
      <w:lvlText w:val="•"/>
      <w:lvlJc w:val="left"/>
      <w:pPr>
        <w:ind w:left="1694" w:hanging="360"/>
      </w:pPr>
      <w:rPr>
        <w:rFonts w:hint="default"/>
      </w:rPr>
    </w:lvl>
    <w:lvl w:ilvl="2">
      <w:start w:val="1"/>
      <w:numFmt w:val="bullet"/>
      <w:lvlText w:val="•"/>
      <w:lvlJc w:val="left"/>
      <w:pPr>
        <w:ind w:left="2568" w:hanging="360"/>
      </w:pPr>
      <w:rPr>
        <w:rFonts w:hint="default"/>
      </w:rPr>
    </w:lvl>
    <w:lvl w:ilvl="3">
      <w:start w:val="1"/>
      <w:numFmt w:val="bullet"/>
      <w:lvlText w:val="•"/>
      <w:lvlJc w:val="left"/>
      <w:pPr>
        <w:ind w:left="3442" w:hanging="360"/>
      </w:pPr>
      <w:rPr>
        <w:rFonts w:hint="default"/>
      </w:rPr>
    </w:lvl>
    <w:lvl w:ilvl="4">
      <w:start w:val="1"/>
      <w:numFmt w:val="bullet"/>
      <w:lvlText w:val="•"/>
      <w:lvlJc w:val="left"/>
      <w:pPr>
        <w:ind w:left="4316"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064" w:hanging="360"/>
      </w:pPr>
      <w:rPr>
        <w:rFonts w:hint="default"/>
      </w:rPr>
    </w:lvl>
    <w:lvl w:ilvl="7">
      <w:start w:val="1"/>
      <w:numFmt w:val="bullet"/>
      <w:lvlText w:val="•"/>
      <w:lvlJc w:val="left"/>
      <w:pPr>
        <w:ind w:left="6938" w:hanging="360"/>
      </w:pPr>
      <w:rPr>
        <w:rFonts w:hint="default"/>
      </w:rPr>
    </w:lvl>
    <w:lvl w:ilvl="8">
      <w:start w:val="1"/>
      <w:numFmt w:val="bullet"/>
      <w:lvlText w:val="•"/>
      <w:lvlJc w:val="left"/>
      <w:pPr>
        <w:ind w:left="7812" w:hanging="360"/>
      </w:pPr>
      <w:rPr>
        <w:rFonts w:hint="default"/>
      </w:rPr>
    </w:lvl>
  </w:abstractNum>
  <w:abstractNum w:abstractNumId="0">
    <w:multiLevelType w:val="hybridMultilevel"/>
    <w:lvl w:ilvl="0">
      <w:start w:val="1"/>
      <w:numFmt w:val="decimal"/>
      <w:lvlText w:val="(%1)"/>
      <w:lvlJc w:val="left"/>
      <w:pPr>
        <w:ind w:left="460" w:hanging="360"/>
        <w:jc w:val="left"/>
      </w:pPr>
      <w:rPr>
        <w:rFonts w:hint="default" w:ascii="Calibri" w:hAnsi="Calibri" w:eastAsia="Calibri"/>
        <w:spacing w:val="-1"/>
        <w:w w:val="100"/>
        <w:sz w:val="22"/>
        <w:szCs w:val="22"/>
      </w:rPr>
    </w:lvl>
    <w:lvl w:ilvl="1">
      <w:start w:val="1"/>
      <w:numFmt w:val="lowerLetter"/>
      <w:lvlText w:val="(%2)"/>
      <w:lvlJc w:val="left"/>
      <w:pPr>
        <w:ind w:left="820" w:hanging="360"/>
        <w:jc w:val="left"/>
      </w:pPr>
      <w:rPr>
        <w:rFonts w:hint="default" w:ascii="Calibri" w:hAnsi="Calibri" w:eastAsia="Calibri"/>
        <w:spacing w:val="-1"/>
        <w:w w:val="100"/>
        <w:sz w:val="22"/>
        <w:szCs w:val="22"/>
      </w:rPr>
    </w:lvl>
    <w:lvl w:ilvl="2">
      <w:start w:val="1"/>
      <w:numFmt w:val="bullet"/>
      <w:lvlText w:val="•"/>
      <w:lvlJc w:val="left"/>
      <w:pPr>
        <w:ind w:left="1791" w:hanging="360"/>
      </w:pPr>
      <w:rPr>
        <w:rFonts w:hint="default"/>
      </w:rPr>
    </w:lvl>
    <w:lvl w:ilvl="3">
      <w:start w:val="1"/>
      <w:numFmt w:val="bullet"/>
      <w:lvlText w:val="•"/>
      <w:lvlJc w:val="left"/>
      <w:pPr>
        <w:ind w:left="2762"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704" w:hanging="360"/>
      </w:pPr>
      <w:rPr>
        <w:rFonts w:hint="default"/>
      </w:rPr>
    </w:lvl>
    <w:lvl w:ilvl="6">
      <w:start w:val="1"/>
      <w:numFmt w:val="bullet"/>
      <w:lvlText w:val="•"/>
      <w:lvlJc w:val="left"/>
      <w:pPr>
        <w:ind w:left="5675" w:hanging="360"/>
      </w:pPr>
      <w:rPr>
        <w:rFonts w:hint="default"/>
      </w:rPr>
    </w:lvl>
    <w:lvl w:ilvl="7">
      <w:start w:val="1"/>
      <w:numFmt w:val="bullet"/>
      <w:lvlText w:val="•"/>
      <w:lvlJc w:val="left"/>
      <w:pPr>
        <w:ind w:left="6646" w:hanging="360"/>
      </w:pPr>
      <w:rPr>
        <w:rFonts w:hint="default"/>
      </w:rPr>
    </w:lvl>
    <w:lvl w:ilvl="8">
      <w:start w:val="1"/>
      <w:numFmt w:val="bullet"/>
      <w:lvlText w:val="•"/>
      <w:lvlJc w:val="left"/>
      <w:pPr>
        <w:ind w:left="7617"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820" w:hanging="360"/>
    </w:pPr>
    <w:rPr>
      <w:rFonts w:ascii="Calibri" w:hAnsi="Calibri" w:eastAsia="Calibri"/>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afsp.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Cardarelli</dc:creator>
  <dcterms:created xsi:type="dcterms:W3CDTF">2015-12-12T03:15:45Z</dcterms:created>
  <dcterms:modified xsi:type="dcterms:W3CDTF">2015-12-12T03:15:45Z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Microsoft® Word 2010</vt:lpwstr>
  </property>
  <property fmtid="{D5CDD505-2E9C-101B-9397-08002B2CF9AE}" pid="4" name="LastSaved">
    <vt:filetime>2015-12-12T00:00:00Z</vt:filetime>
  </property>
</Properties>
</file>